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C447E3"/>
    <w:p w:rsidR="00C447E3" w:rsidRPr="003D0647" w:rsidRDefault="000D2466">
      <w:pPr>
        <w:pStyle w:val="Titre"/>
        <w:jc w:val="center"/>
      </w:pPr>
      <w:r w:rsidRPr="003D0647">
        <w:t xml:space="preserve">Plan annuel d’accessibilité </w:t>
      </w:r>
      <w:r w:rsidR="004670EB" w:rsidRPr="003D0647">
        <w:t>2025</w:t>
      </w:r>
    </w:p>
    <w:p w:rsidR="00C447E3" w:rsidRPr="003D0647" w:rsidRDefault="00E81EE8">
      <w:pPr>
        <w:pStyle w:val="Sous-titre"/>
        <w:jc w:val="center"/>
        <w:rPr>
          <w:color w:val="auto"/>
        </w:rPr>
      </w:pPr>
      <w:r w:rsidRPr="003D0647">
        <w:rPr>
          <w:color w:val="auto"/>
        </w:rPr>
        <w:t xml:space="preserve"> Direction Générale des Outre-Mer</w:t>
      </w:r>
    </w:p>
    <w:p w:rsidR="00C447E3" w:rsidRPr="003D0647" w:rsidRDefault="000D2466">
      <w:pPr>
        <w:rPr>
          <w:rFonts w:eastAsiaTheme="minorEastAsia"/>
          <w:spacing w:val="15"/>
        </w:rPr>
      </w:pPr>
      <w:r w:rsidRPr="003D0647">
        <w:br w:type="page" w:clear="all"/>
      </w:r>
    </w:p>
    <w:sdt>
      <w:sdtPr>
        <w:rPr>
          <w:rFonts w:asciiTheme="minorHAnsi" w:eastAsiaTheme="minorHAnsi" w:hAnsiTheme="minorHAnsi" w:cstheme="minorBidi"/>
          <w:color w:val="auto"/>
          <w:sz w:val="22"/>
          <w:szCs w:val="22"/>
          <w:lang w:eastAsia="en-US"/>
        </w:rPr>
        <w:id w:val="69474166"/>
        <w:docPartObj>
          <w:docPartGallery w:val="Table of Contents"/>
          <w:docPartUnique/>
        </w:docPartObj>
      </w:sdtPr>
      <w:sdtEndPr/>
      <w:sdtContent>
        <w:p w:rsidR="00C447E3" w:rsidRPr="003D0647" w:rsidRDefault="000D2466">
          <w:pPr>
            <w:pStyle w:val="En-ttedetabledesmatires"/>
            <w:rPr>
              <w:color w:val="auto"/>
            </w:rPr>
          </w:pPr>
          <w:r w:rsidRPr="003D0647">
            <w:rPr>
              <w:color w:val="auto"/>
            </w:rPr>
            <w:t>Table des matières</w:t>
          </w:r>
        </w:p>
        <w:p w:rsidR="00C447E3" w:rsidRPr="003D0647" w:rsidRDefault="000D2466">
          <w:pPr>
            <w:pStyle w:val="TM1"/>
            <w:tabs>
              <w:tab w:val="right" w:leader="dot" w:pos="9062"/>
            </w:tabs>
            <w:rPr>
              <w:rFonts w:asciiTheme="minorHAnsi" w:eastAsiaTheme="minorEastAsia" w:hAnsiTheme="minorHAnsi"/>
              <w:noProof/>
            </w:rPr>
          </w:pPr>
          <w:r w:rsidRPr="003D0647">
            <w:fldChar w:fldCharType="begin"/>
          </w:r>
          <w:r w:rsidRPr="003D0647">
            <w:instrText xml:space="preserve"> TOC \o "1-3" \h \z \u </w:instrText>
          </w:r>
          <w:r w:rsidRPr="003D0647">
            <w:fldChar w:fldCharType="separate"/>
          </w:r>
          <w:hyperlink w:anchor="_Toc1" w:tooltip="#_Toc1" w:history="1">
            <w:r w:rsidRPr="003D0647">
              <w:rPr>
                <w:rStyle w:val="Lienhypertexte"/>
                <w:noProof/>
                <w:color w:val="auto"/>
              </w:rPr>
              <w:t>Introduction</w:t>
            </w:r>
            <w:r w:rsidRPr="003D0647">
              <w:rPr>
                <w:noProof/>
              </w:rPr>
              <w:tab/>
            </w:r>
            <w:r w:rsidRPr="003D0647">
              <w:rPr>
                <w:noProof/>
              </w:rPr>
              <w:fldChar w:fldCharType="begin"/>
            </w:r>
            <w:r w:rsidRPr="003D0647">
              <w:rPr>
                <w:noProof/>
              </w:rPr>
              <w:instrText>PAGEREF _Toc1 \h</w:instrText>
            </w:r>
            <w:r w:rsidRPr="003D0647">
              <w:rPr>
                <w:noProof/>
              </w:rPr>
            </w:r>
            <w:r w:rsidRPr="003D0647">
              <w:rPr>
                <w:noProof/>
              </w:rPr>
              <w:fldChar w:fldCharType="separate"/>
            </w:r>
            <w:r w:rsidR="003D0647">
              <w:rPr>
                <w:noProof/>
              </w:rPr>
              <w:t>2</w:t>
            </w:r>
            <w:r w:rsidRPr="003D0647">
              <w:rPr>
                <w:noProof/>
              </w:rPr>
              <w:fldChar w:fldCharType="end"/>
            </w:r>
          </w:hyperlink>
        </w:p>
        <w:p w:rsidR="00C447E3" w:rsidRPr="003D0647" w:rsidRDefault="00866041">
          <w:pPr>
            <w:pStyle w:val="TM2"/>
            <w:tabs>
              <w:tab w:val="right" w:leader="dot" w:pos="9062"/>
            </w:tabs>
            <w:rPr>
              <w:noProof/>
            </w:rPr>
          </w:pPr>
          <w:hyperlink w:anchor="_Toc2" w:tooltip="#_Toc2" w:history="1">
            <w:r w:rsidR="000D2466" w:rsidRPr="003D0647">
              <w:rPr>
                <w:rStyle w:val="Lienhypertexte"/>
                <w:noProof/>
                <w:color w:val="auto"/>
              </w:rPr>
              <w:t>Schéma pluriannuel</w:t>
            </w:r>
            <w:r w:rsidR="000D2466" w:rsidRPr="003D0647">
              <w:rPr>
                <w:noProof/>
              </w:rPr>
              <w:tab/>
            </w:r>
            <w:r w:rsidR="000D2466" w:rsidRPr="003D0647">
              <w:rPr>
                <w:noProof/>
              </w:rPr>
              <w:fldChar w:fldCharType="begin"/>
            </w:r>
            <w:r w:rsidR="000D2466" w:rsidRPr="003D0647">
              <w:rPr>
                <w:noProof/>
              </w:rPr>
              <w:instrText>PAGEREF _Toc2 \h</w:instrText>
            </w:r>
            <w:r w:rsidR="000D2466" w:rsidRPr="003D0647">
              <w:rPr>
                <w:noProof/>
              </w:rPr>
            </w:r>
            <w:r w:rsidR="000D2466" w:rsidRPr="003D0647">
              <w:rPr>
                <w:noProof/>
              </w:rPr>
              <w:fldChar w:fldCharType="separate"/>
            </w:r>
            <w:r w:rsidR="003D0647">
              <w:rPr>
                <w:noProof/>
              </w:rPr>
              <w:t>2</w:t>
            </w:r>
            <w:r w:rsidR="000D2466" w:rsidRPr="003D0647">
              <w:rPr>
                <w:noProof/>
              </w:rPr>
              <w:fldChar w:fldCharType="end"/>
            </w:r>
          </w:hyperlink>
        </w:p>
        <w:p w:rsidR="00C447E3" w:rsidRPr="003D0647" w:rsidRDefault="00866041">
          <w:pPr>
            <w:pStyle w:val="TM2"/>
            <w:tabs>
              <w:tab w:val="right" w:leader="dot" w:pos="9062"/>
            </w:tabs>
            <w:rPr>
              <w:noProof/>
            </w:rPr>
          </w:pPr>
          <w:hyperlink w:anchor="_Toc3" w:tooltip="#_Toc3" w:history="1">
            <w:r w:rsidR="000D2466" w:rsidRPr="003D0647">
              <w:rPr>
                <w:rStyle w:val="Lienhypertexte"/>
                <w:noProof/>
                <w:color w:val="auto"/>
              </w:rPr>
              <w:t>Plan annuel</w:t>
            </w:r>
            <w:r w:rsidR="000D2466" w:rsidRPr="003D0647">
              <w:rPr>
                <w:noProof/>
              </w:rPr>
              <w:tab/>
            </w:r>
            <w:r w:rsidR="000D2466" w:rsidRPr="003D0647">
              <w:rPr>
                <w:noProof/>
              </w:rPr>
              <w:fldChar w:fldCharType="begin"/>
            </w:r>
            <w:r w:rsidR="000D2466" w:rsidRPr="003D0647">
              <w:rPr>
                <w:noProof/>
              </w:rPr>
              <w:instrText>PAGEREF _Toc3 \h</w:instrText>
            </w:r>
            <w:r w:rsidR="000D2466" w:rsidRPr="003D0647">
              <w:rPr>
                <w:noProof/>
              </w:rPr>
            </w:r>
            <w:r w:rsidR="000D2466" w:rsidRPr="003D0647">
              <w:rPr>
                <w:noProof/>
              </w:rPr>
              <w:fldChar w:fldCharType="separate"/>
            </w:r>
            <w:r w:rsidR="003D0647">
              <w:rPr>
                <w:noProof/>
              </w:rPr>
              <w:t>2</w:t>
            </w:r>
            <w:r w:rsidR="000D2466" w:rsidRPr="003D0647">
              <w:rPr>
                <w:noProof/>
              </w:rPr>
              <w:fldChar w:fldCharType="end"/>
            </w:r>
          </w:hyperlink>
        </w:p>
        <w:p w:rsidR="00C447E3" w:rsidRPr="003D0647" w:rsidRDefault="00866041">
          <w:pPr>
            <w:pStyle w:val="TM2"/>
            <w:tabs>
              <w:tab w:val="right" w:leader="dot" w:pos="9062"/>
            </w:tabs>
            <w:rPr>
              <w:noProof/>
            </w:rPr>
          </w:pPr>
          <w:hyperlink w:anchor="_Toc4" w:tooltip="#_Toc4" w:history="1">
            <w:r w:rsidR="000D2466" w:rsidRPr="003D0647">
              <w:rPr>
                <w:rStyle w:val="Lienhypertexte"/>
                <w:noProof/>
                <w:color w:val="auto"/>
              </w:rPr>
              <w:t>Mises à jour</w:t>
            </w:r>
            <w:r w:rsidR="000D2466" w:rsidRPr="003D0647">
              <w:rPr>
                <w:noProof/>
              </w:rPr>
              <w:tab/>
            </w:r>
            <w:r w:rsidR="000D2466" w:rsidRPr="003D0647">
              <w:rPr>
                <w:noProof/>
              </w:rPr>
              <w:fldChar w:fldCharType="begin"/>
            </w:r>
            <w:r w:rsidR="000D2466" w:rsidRPr="003D0647">
              <w:rPr>
                <w:noProof/>
              </w:rPr>
              <w:instrText>PAGEREF _Toc4 \h</w:instrText>
            </w:r>
            <w:r w:rsidR="000D2466" w:rsidRPr="003D0647">
              <w:rPr>
                <w:noProof/>
              </w:rPr>
            </w:r>
            <w:r w:rsidR="000D2466" w:rsidRPr="003D0647">
              <w:rPr>
                <w:noProof/>
              </w:rPr>
              <w:fldChar w:fldCharType="separate"/>
            </w:r>
            <w:r w:rsidR="003D0647">
              <w:rPr>
                <w:noProof/>
              </w:rPr>
              <w:t>2</w:t>
            </w:r>
            <w:r w:rsidR="000D2466" w:rsidRPr="003D0647">
              <w:rPr>
                <w:noProof/>
              </w:rPr>
              <w:fldChar w:fldCharType="end"/>
            </w:r>
          </w:hyperlink>
        </w:p>
        <w:p w:rsidR="00C447E3" w:rsidRPr="003D0647" w:rsidRDefault="00866041">
          <w:pPr>
            <w:pStyle w:val="TM2"/>
            <w:tabs>
              <w:tab w:val="right" w:leader="dot" w:pos="9062"/>
            </w:tabs>
            <w:rPr>
              <w:noProof/>
            </w:rPr>
          </w:pPr>
          <w:hyperlink w:anchor="_Toc5" w:tooltip="#_Toc5" w:history="1">
            <w:r w:rsidR="000D2466" w:rsidRPr="003D0647">
              <w:rPr>
                <w:rStyle w:val="Lienhypertexte"/>
                <w:noProof/>
                <w:color w:val="auto"/>
              </w:rPr>
              <w:t>Contact</w:t>
            </w:r>
            <w:r w:rsidR="000D2466" w:rsidRPr="003D0647">
              <w:rPr>
                <w:noProof/>
              </w:rPr>
              <w:tab/>
            </w:r>
            <w:r w:rsidR="000D2466" w:rsidRPr="003D0647">
              <w:rPr>
                <w:noProof/>
              </w:rPr>
              <w:fldChar w:fldCharType="begin"/>
            </w:r>
            <w:r w:rsidR="000D2466" w:rsidRPr="003D0647">
              <w:rPr>
                <w:noProof/>
              </w:rPr>
              <w:instrText>PAGEREF _Toc5 \h</w:instrText>
            </w:r>
            <w:r w:rsidR="000D2466" w:rsidRPr="003D0647">
              <w:rPr>
                <w:noProof/>
              </w:rPr>
            </w:r>
            <w:r w:rsidR="000D2466" w:rsidRPr="003D0647">
              <w:rPr>
                <w:noProof/>
              </w:rPr>
              <w:fldChar w:fldCharType="separate"/>
            </w:r>
            <w:r w:rsidR="003D0647">
              <w:rPr>
                <w:noProof/>
              </w:rPr>
              <w:t>2</w:t>
            </w:r>
            <w:r w:rsidR="000D2466" w:rsidRPr="003D0647">
              <w:rPr>
                <w:noProof/>
              </w:rPr>
              <w:fldChar w:fldCharType="end"/>
            </w:r>
          </w:hyperlink>
          <w:bookmarkStart w:id="0" w:name="_GoBack"/>
          <w:bookmarkEnd w:id="0"/>
        </w:p>
        <w:p w:rsidR="00C447E3" w:rsidRPr="003D0647" w:rsidRDefault="00866041">
          <w:pPr>
            <w:pStyle w:val="TM1"/>
            <w:tabs>
              <w:tab w:val="right" w:leader="dot" w:pos="9062"/>
            </w:tabs>
            <w:rPr>
              <w:noProof/>
            </w:rPr>
          </w:pPr>
          <w:hyperlink w:anchor="_Toc7" w:tooltip="#_Toc7" w:history="1">
            <w:r w:rsidR="000D2466" w:rsidRPr="003D0647">
              <w:rPr>
                <w:rStyle w:val="Lienhypertexte"/>
                <w:noProof/>
                <w:color w:val="auto"/>
              </w:rPr>
              <w:t>Plan annuel</w:t>
            </w:r>
            <w:r w:rsidR="000D2466" w:rsidRPr="003D0647">
              <w:rPr>
                <w:noProof/>
              </w:rPr>
              <w:tab/>
            </w:r>
            <w:r w:rsidR="000D2466" w:rsidRPr="003D0647">
              <w:rPr>
                <w:noProof/>
              </w:rPr>
              <w:fldChar w:fldCharType="begin"/>
            </w:r>
            <w:r w:rsidR="000D2466" w:rsidRPr="003D0647">
              <w:rPr>
                <w:noProof/>
              </w:rPr>
              <w:instrText>PAGEREF _Toc7 \h</w:instrText>
            </w:r>
            <w:r w:rsidR="000D2466" w:rsidRPr="003D0647">
              <w:rPr>
                <w:noProof/>
              </w:rPr>
            </w:r>
            <w:r w:rsidR="000D2466" w:rsidRPr="003D0647">
              <w:rPr>
                <w:noProof/>
              </w:rPr>
              <w:fldChar w:fldCharType="separate"/>
            </w:r>
            <w:r w:rsidR="003D0647">
              <w:rPr>
                <w:noProof/>
              </w:rPr>
              <w:t>3</w:t>
            </w:r>
            <w:r w:rsidR="000D2466" w:rsidRPr="003D0647">
              <w:rPr>
                <w:noProof/>
              </w:rPr>
              <w:fldChar w:fldCharType="end"/>
            </w:r>
          </w:hyperlink>
        </w:p>
        <w:p w:rsidR="00C447E3" w:rsidRPr="003D0647" w:rsidRDefault="000D2466">
          <w:r w:rsidRPr="003D0647">
            <w:rPr>
              <w:b/>
              <w:bCs/>
            </w:rPr>
            <w:fldChar w:fldCharType="end"/>
          </w:r>
        </w:p>
      </w:sdtContent>
    </w:sdt>
    <w:p w:rsidR="00C447E3" w:rsidRPr="003D0647" w:rsidRDefault="000D2466">
      <w:r w:rsidRPr="003D0647">
        <w:br w:type="page" w:clear="all"/>
      </w:r>
    </w:p>
    <w:p w:rsidR="00C447E3" w:rsidRPr="003D0647" w:rsidRDefault="000D2466">
      <w:pPr>
        <w:pStyle w:val="Titre1"/>
        <w:rPr>
          <w:color w:val="auto"/>
        </w:rPr>
      </w:pPr>
      <w:bookmarkStart w:id="1" w:name="_Toc1"/>
      <w:r w:rsidRPr="003D0647">
        <w:rPr>
          <w:color w:val="auto"/>
        </w:rPr>
        <w:lastRenderedPageBreak/>
        <w:t>Introduction</w:t>
      </w:r>
      <w:bookmarkEnd w:id="1"/>
    </w:p>
    <w:p w:rsidR="00C447E3" w:rsidRPr="003D0647" w:rsidRDefault="000D2466">
      <w:r w:rsidRPr="003D0647">
        <w:t>Le décret n°2009-546 du 14 mai 2009 pris en application de l'article 47 de la loi n°2005-102 du 11 février 2005 sur l'égalité des droits et des chances, la participation et la citoyenneté des personnes handicapées et créant un référentiel d'accessibilité des services de communication publique en ligne oblige le ministère de l’intérieur à rendre accessible et à publier une déclaration d’accessibilité et à afficher la conformité au Référentiel général d’amélioration de l’accessibilité (RGAA) pour ses sites internet, intranet et extranet, ainsi que pour ses applications mobiles, progiciels utilisés au travers d’un navigateur web ou une application mobile et son mobilier urbain numérique.</w:t>
      </w:r>
    </w:p>
    <w:p w:rsidR="00C447E3" w:rsidRPr="003D0647" w:rsidRDefault="000D2466">
      <w:pPr>
        <w:pStyle w:val="Titre2"/>
        <w:rPr>
          <w:color w:val="auto"/>
        </w:rPr>
      </w:pPr>
      <w:bookmarkStart w:id="2" w:name="_Toc2"/>
      <w:r w:rsidRPr="003D0647">
        <w:rPr>
          <w:color w:val="auto"/>
        </w:rPr>
        <w:t>Schéma pluriannuel</w:t>
      </w:r>
      <w:bookmarkEnd w:id="2"/>
    </w:p>
    <w:p w:rsidR="00C447E3" w:rsidRPr="003D0647" w:rsidRDefault="000D2466">
      <w:r w:rsidRPr="003D0647">
        <w:t xml:space="preserve">Le schéma pluriannuel de mise en accessibilité de </w:t>
      </w:r>
      <w:r w:rsidR="004670EB" w:rsidRPr="003D0647">
        <w:t>la Direction Générale des Outre-Mer (DGOM)</w:t>
      </w:r>
      <w:r w:rsidRPr="003D0647">
        <w:t xml:space="preserve"> est disponible sur le site internet de </w:t>
      </w:r>
      <w:r w:rsidR="004670EB" w:rsidRPr="003D0647">
        <w:t xml:space="preserve">la Stratégie </w:t>
      </w:r>
      <w:proofErr w:type="spellStart"/>
      <w:r w:rsidR="004670EB" w:rsidRPr="003D0647">
        <w:t>Chordécone</w:t>
      </w:r>
      <w:proofErr w:type="spellEnd"/>
      <w:r w:rsidRPr="003D0647">
        <w:rPr>
          <w:rStyle w:val="Appelnotedebasdep"/>
        </w:rPr>
        <w:footnoteReference w:id="1"/>
      </w:r>
      <w:r w:rsidRPr="003D0647">
        <w:t>.</w:t>
      </w:r>
    </w:p>
    <w:p w:rsidR="00C447E3" w:rsidRPr="003D0647" w:rsidRDefault="000D2466">
      <w:pPr>
        <w:pStyle w:val="Titre2"/>
        <w:rPr>
          <w:color w:val="auto"/>
        </w:rPr>
      </w:pPr>
      <w:bookmarkStart w:id="3" w:name="_Toc3"/>
      <w:r w:rsidRPr="003D0647">
        <w:rPr>
          <w:color w:val="auto"/>
        </w:rPr>
        <w:t>Plan annuel</w:t>
      </w:r>
      <w:bookmarkEnd w:id="3"/>
    </w:p>
    <w:p w:rsidR="00C447E3" w:rsidRPr="003D0647" w:rsidRDefault="000D2466">
      <w:r w:rsidRPr="003D0647">
        <w:t>Le schéma pluriannuel doit être accompagné d'un plan annuel d'actions qui détaille les opérations programmées et mises en œuvre pour l’année courante ainsi que l'état de suivis de ces actions.</w:t>
      </w:r>
    </w:p>
    <w:p w:rsidR="00C447E3" w:rsidRPr="003D0647" w:rsidRDefault="000D2466">
      <w:r w:rsidRPr="003D0647">
        <w:t xml:space="preserve">Le présent document est le plan annuel </w:t>
      </w:r>
      <w:r w:rsidR="004670EB" w:rsidRPr="003D0647">
        <w:t>2025</w:t>
      </w:r>
      <w:r w:rsidRPr="003D0647">
        <w:t xml:space="preserve"> associé au schéma pluriannuel </w:t>
      </w:r>
      <w:r w:rsidR="00651FC9" w:rsidRPr="003D0647">
        <w:t>2025-2027</w:t>
      </w:r>
      <w:r w:rsidRPr="003D0647">
        <w:t>.</w:t>
      </w:r>
    </w:p>
    <w:p w:rsidR="00C447E3" w:rsidRPr="003D0647" w:rsidRDefault="000D2466">
      <w:r w:rsidRPr="003D0647">
        <w:t xml:space="preserve">Il comporte un tableau récapitulatif des actions qui ont été ou seront mises en œuvre en </w:t>
      </w:r>
      <w:r w:rsidR="00651FC9" w:rsidRPr="003D0647">
        <w:t xml:space="preserve">2025, </w:t>
      </w:r>
      <w:r w:rsidRPr="003D0647">
        <w:t>leur date d'échéance si elles sont connues ainsi que leur état d'avancement et de réalisation.</w:t>
      </w:r>
    </w:p>
    <w:p w:rsidR="00C447E3" w:rsidRPr="003D0647" w:rsidRDefault="000D2466">
      <w:pPr>
        <w:pStyle w:val="Titre2"/>
        <w:rPr>
          <w:color w:val="auto"/>
        </w:rPr>
      </w:pPr>
      <w:bookmarkStart w:id="4" w:name="_Toc4"/>
      <w:r w:rsidRPr="003D0647">
        <w:rPr>
          <w:color w:val="auto"/>
        </w:rPr>
        <w:t>Mises à jour</w:t>
      </w:r>
      <w:bookmarkEnd w:id="4"/>
    </w:p>
    <w:p w:rsidR="00C447E3" w:rsidRPr="003D0647" w:rsidRDefault="000D2466">
      <w:r w:rsidRPr="003D0647">
        <w:t>Ce plan est susceptible d'être mis à jour sans préavis. La version en ligne est la seule version qui peut faire référence.</w:t>
      </w:r>
    </w:p>
    <w:p w:rsidR="00C447E3" w:rsidRPr="003D0647" w:rsidRDefault="000D2466">
      <w:pPr>
        <w:pStyle w:val="Titre2"/>
        <w:rPr>
          <w:color w:val="auto"/>
        </w:rPr>
      </w:pPr>
      <w:bookmarkStart w:id="5" w:name="_Toc5"/>
      <w:r w:rsidRPr="003D0647">
        <w:rPr>
          <w:color w:val="auto"/>
        </w:rPr>
        <w:t>Contact</w:t>
      </w:r>
      <w:bookmarkEnd w:id="5"/>
    </w:p>
    <w:p w:rsidR="00C447E3" w:rsidRPr="003D0647" w:rsidRDefault="000D2466">
      <w:r w:rsidRPr="003D0647">
        <w:t>Ce document relève de la responsabilité du référent accessibilité</w:t>
      </w:r>
      <w:r w:rsidRPr="003D0647">
        <w:rPr>
          <w:rStyle w:val="Appelnotedebasdep"/>
        </w:rPr>
        <w:footnoteReference w:id="2"/>
      </w:r>
      <w:r w:rsidRPr="003D0647">
        <w:t xml:space="preserve"> de </w:t>
      </w:r>
      <w:r w:rsidR="00651FC9" w:rsidRPr="003D0647">
        <w:t>la DGOM</w:t>
      </w:r>
      <w:r w:rsidRPr="003D0647">
        <w:t>.</w:t>
      </w:r>
    </w:p>
    <w:p w:rsidR="00C447E3" w:rsidRPr="003D0647" w:rsidRDefault="000D2466">
      <w:r w:rsidRPr="003D0647">
        <w:br w:type="page" w:clear="all"/>
      </w:r>
    </w:p>
    <w:p w:rsidR="00C447E3" w:rsidRPr="003D0647" w:rsidRDefault="00C447E3">
      <w:pPr>
        <w:sectPr w:rsidR="00C447E3" w:rsidRPr="003D0647">
          <w:headerReference w:type="default" r:id="rId9"/>
          <w:footerReference w:type="default" r:id="rId10"/>
          <w:headerReference w:type="first" r:id="rId11"/>
          <w:pgSz w:w="11906" w:h="16838"/>
          <w:pgMar w:top="1417" w:right="1417" w:bottom="1417" w:left="1417" w:header="708" w:footer="708" w:gutter="0"/>
          <w:pgNumType w:start="0"/>
          <w:cols w:space="708"/>
          <w:titlePg/>
          <w:docGrid w:linePitch="360"/>
        </w:sectPr>
      </w:pPr>
    </w:p>
    <w:p w:rsidR="00C447E3" w:rsidRPr="003D0647" w:rsidRDefault="000D2466">
      <w:pPr>
        <w:pStyle w:val="Titre1"/>
        <w:rPr>
          <w:color w:val="auto"/>
        </w:rPr>
      </w:pPr>
      <w:bookmarkStart w:id="6" w:name="_Toc7"/>
      <w:r w:rsidRPr="003D0647">
        <w:rPr>
          <w:color w:val="auto"/>
        </w:rPr>
        <w:t>Plan annuel</w:t>
      </w:r>
      <w:bookmarkEnd w:id="6"/>
    </w:p>
    <w:p w:rsidR="00C447E3" w:rsidRPr="003D0647" w:rsidRDefault="00C447E3"/>
    <w:tbl>
      <w:tblPr>
        <w:tblStyle w:val="Grilledutableau"/>
        <w:tblW w:w="0" w:type="auto"/>
        <w:tblLook w:val="04A0" w:firstRow="1" w:lastRow="0" w:firstColumn="1" w:lastColumn="0" w:noHBand="0" w:noVBand="1"/>
      </w:tblPr>
      <w:tblGrid>
        <w:gridCol w:w="2830"/>
        <w:gridCol w:w="10065"/>
        <w:gridCol w:w="1097"/>
      </w:tblGrid>
      <w:tr w:rsidR="003D0647" w:rsidRPr="003D0647">
        <w:tc>
          <w:tcPr>
            <w:tcW w:w="2830" w:type="dxa"/>
          </w:tcPr>
          <w:p w:rsidR="00C447E3" w:rsidRPr="003D0647" w:rsidRDefault="000D2466">
            <w:pPr>
              <w:rPr>
                <w:b/>
              </w:rPr>
            </w:pPr>
            <w:r w:rsidRPr="003D0647">
              <w:rPr>
                <w:b/>
              </w:rPr>
              <w:t>Action</w:t>
            </w:r>
          </w:p>
        </w:tc>
        <w:tc>
          <w:tcPr>
            <w:tcW w:w="10065" w:type="dxa"/>
          </w:tcPr>
          <w:p w:rsidR="00C447E3" w:rsidRPr="003D0647" w:rsidRDefault="000D2466">
            <w:pPr>
              <w:rPr>
                <w:b/>
              </w:rPr>
            </w:pPr>
            <w:r w:rsidRPr="003D0647">
              <w:rPr>
                <w:b/>
              </w:rPr>
              <w:t>Détails</w:t>
            </w:r>
          </w:p>
        </w:tc>
        <w:tc>
          <w:tcPr>
            <w:tcW w:w="1097" w:type="dxa"/>
          </w:tcPr>
          <w:p w:rsidR="00C447E3" w:rsidRPr="003D0647" w:rsidRDefault="000D2466">
            <w:pPr>
              <w:rPr>
                <w:b/>
              </w:rPr>
            </w:pPr>
            <w:r w:rsidRPr="003D0647">
              <w:rPr>
                <w:b/>
              </w:rPr>
              <w:t>Suivi</w:t>
            </w:r>
          </w:p>
        </w:tc>
      </w:tr>
      <w:tr w:rsidR="003D0647" w:rsidRPr="003D0647">
        <w:tc>
          <w:tcPr>
            <w:tcW w:w="2830" w:type="dxa"/>
          </w:tcPr>
          <w:p w:rsidR="00C447E3" w:rsidRPr="003D0647" w:rsidRDefault="000D2466">
            <w:pPr>
              <w:jc w:val="left"/>
            </w:pPr>
            <w:r w:rsidRPr="003D0647">
              <w:t xml:space="preserve">1. </w:t>
            </w:r>
            <w:r w:rsidR="00651FC9" w:rsidRPr="003D0647">
              <w:rPr>
                <w:rStyle w:val="lev"/>
                <w:b w:val="0"/>
              </w:rPr>
              <w:t>Planification de la mise en accessibilité</w:t>
            </w:r>
          </w:p>
        </w:tc>
        <w:tc>
          <w:tcPr>
            <w:tcW w:w="10065" w:type="dxa"/>
          </w:tcPr>
          <w:p w:rsidR="00651FC9" w:rsidRPr="003D0647" w:rsidRDefault="00651FC9" w:rsidP="003D0647">
            <w:r w:rsidRPr="003D0647">
              <w:t>En fonction des critères précédemment retenus, évaluer les priorités et planifier les actions d</w:t>
            </w:r>
            <w:r w:rsidR="00BE511D" w:rsidRPr="003D0647">
              <w:t>e mise en accessibilité pour le</w:t>
            </w:r>
            <w:r w:rsidRPr="003D0647">
              <w:t xml:space="preserve"> site, </w:t>
            </w:r>
            <w:r w:rsidR="00BE511D" w:rsidRPr="003D0647">
              <w:t xml:space="preserve">et </w:t>
            </w:r>
            <w:r w:rsidRPr="003D0647">
              <w:t xml:space="preserve">contenus retenus. </w:t>
            </w:r>
          </w:p>
          <w:p w:rsidR="00C447E3" w:rsidRPr="003D0647" w:rsidRDefault="00C447E3"/>
        </w:tc>
        <w:tc>
          <w:tcPr>
            <w:tcW w:w="1097" w:type="dxa"/>
          </w:tcPr>
          <w:p w:rsidR="00C447E3" w:rsidRPr="003D0647" w:rsidRDefault="00651FC9">
            <w:pPr>
              <w:jc w:val="left"/>
            </w:pPr>
            <w:r w:rsidRPr="003D0647">
              <w:t>En continu</w:t>
            </w:r>
          </w:p>
        </w:tc>
      </w:tr>
      <w:tr w:rsidR="003D0647" w:rsidRPr="003D0647">
        <w:tc>
          <w:tcPr>
            <w:tcW w:w="2830" w:type="dxa"/>
          </w:tcPr>
          <w:p w:rsidR="00BE511D" w:rsidRPr="003D0647" w:rsidRDefault="00BE511D">
            <w:pPr>
              <w:jc w:val="left"/>
            </w:pPr>
            <w:r w:rsidRPr="003D0647">
              <w:t>2. Formation à l’accessibilité</w:t>
            </w:r>
          </w:p>
        </w:tc>
        <w:tc>
          <w:tcPr>
            <w:tcW w:w="10065" w:type="dxa"/>
          </w:tcPr>
          <w:p w:rsidR="00BE511D" w:rsidRPr="003D0647" w:rsidRDefault="00BE511D" w:rsidP="00651FC9">
            <w:r w:rsidRPr="003D0647">
              <w:t>Formation à l’accessibilité de tous les éditeurs du site internet</w:t>
            </w:r>
          </w:p>
        </w:tc>
        <w:tc>
          <w:tcPr>
            <w:tcW w:w="1097" w:type="dxa"/>
          </w:tcPr>
          <w:p w:rsidR="00BE511D" w:rsidRPr="003D0647" w:rsidDel="00651FC9" w:rsidRDefault="00BE511D">
            <w:pPr>
              <w:jc w:val="left"/>
            </w:pPr>
            <w:r w:rsidRPr="003D0647">
              <w:t>En cours</w:t>
            </w:r>
          </w:p>
        </w:tc>
      </w:tr>
      <w:tr w:rsidR="003D0647" w:rsidRPr="003D0647">
        <w:tc>
          <w:tcPr>
            <w:tcW w:w="2830" w:type="dxa"/>
          </w:tcPr>
          <w:p w:rsidR="00BE511D" w:rsidRPr="003D0647" w:rsidRDefault="00BE511D">
            <w:pPr>
              <w:jc w:val="left"/>
            </w:pPr>
            <w:r w:rsidRPr="003D0647">
              <w:t>3. Conformité des images</w:t>
            </w:r>
          </w:p>
        </w:tc>
        <w:tc>
          <w:tcPr>
            <w:tcW w:w="10065" w:type="dxa"/>
          </w:tcPr>
          <w:p w:rsidR="00BE511D" w:rsidRPr="003D0647" w:rsidRDefault="00BE511D" w:rsidP="003D0647">
            <w:pPr>
              <w:pStyle w:val="Default"/>
              <w:spacing w:after="194"/>
              <w:rPr>
                <w:color w:val="auto"/>
              </w:rPr>
            </w:pPr>
            <w:r w:rsidRPr="003D0647">
              <w:rPr>
                <w:rFonts w:ascii="Marianne" w:hAnsi="Marianne"/>
                <w:color w:val="auto"/>
                <w:sz w:val="22"/>
                <w:szCs w:val="22"/>
              </w:rPr>
              <w:t xml:space="preserve">Mise en conformité des descriptions des images informatives </w:t>
            </w:r>
            <w:r w:rsidR="003C0E05" w:rsidRPr="003D0647">
              <w:rPr>
                <w:rFonts w:ascii="Marianne" w:hAnsi="Marianne"/>
                <w:color w:val="auto"/>
                <w:sz w:val="22"/>
                <w:szCs w:val="22"/>
              </w:rPr>
              <w:t>et décoratives</w:t>
            </w:r>
          </w:p>
        </w:tc>
        <w:tc>
          <w:tcPr>
            <w:tcW w:w="1097" w:type="dxa"/>
          </w:tcPr>
          <w:p w:rsidR="00BE511D" w:rsidRPr="003D0647" w:rsidRDefault="00BE511D">
            <w:pPr>
              <w:jc w:val="left"/>
            </w:pPr>
            <w:r w:rsidRPr="003D0647">
              <w:t>Réalisé</w:t>
            </w:r>
          </w:p>
        </w:tc>
      </w:tr>
      <w:tr w:rsidR="003D0647" w:rsidRPr="003D0647">
        <w:tc>
          <w:tcPr>
            <w:tcW w:w="2830" w:type="dxa"/>
          </w:tcPr>
          <w:p w:rsidR="00BE511D" w:rsidRPr="003D0647" w:rsidRDefault="00BE511D">
            <w:pPr>
              <w:jc w:val="left"/>
            </w:pPr>
            <w:r w:rsidRPr="003D0647">
              <w:t>4. Conformité des couleurs du site</w:t>
            </w:r>
          </w:p>
        </w:tc>
        <w:tc>
          <w:tcPr>
            <w:tcW w:w="10065" w:type="dxa"/>
          </w:tcPr>
          <w:p w:rsidR="00BE511D" w:rsidRPr="003D0647" w:rsidRDefault="00BE511D" w:rsidP="00651FC9">
            <w:r w:rsidRPr="003D0647">
              <w:t>Mise en conformité du contraste des couleurs</w:t>
            </w:r>
          </w:p>
        </w:tc>
        <w:tc>
          <w:tcPr>
            <w:tcW w:w="1097" w:type="dxa"/>
          </w:tcPr>
          <w:p w:rsidR="00BE511D" w:rsidRPr="003D0647" w:rsidRDefault="00BE511D">
            <w:pPr>
              <w:jc w:val="left"/>
            </w:pPr>
            <w:r w:rsidRPr="003D0647">
              <w:t>En cours</w:t>
            </w:r>
          </w:p>
        </w:tc>
      </w:tr>
      <w:tr w:rsidR="003D0647" w:rsidRPr="003D0647">
        <w:tc>
          <w:tcPr>
            <w:tcW w:w="2830" w:type="dxa"/>
          </w:tcPr>
          <w:p w:rsidR="00BE511D" w:rsidRPr="003D0647" w:rsidRDefault="00BE511D" w:rsidP="00BE511D">
            <w:pPr>
              <w:jc w:val="left"/>
            </w:pPr>
            <w:r w:rsidRPr="003D0647">
              <w:t>5. Conformité des contenus complexes</w:t>
            </w:r>
          </w:p>
        </w:tc>
        <w:tc>
          <w:tcPr>
            <w:tcW w:w="10065" w:type="dxa"/>
          </w:tcPr>
          <w:p w:rsidR="00BE511D" w:rsidRPr="003D0647" w:rsidRDefault="00BE511D" w:rsidP="00651FC9">
            <w:r w:rsidRPr="003D0647">
              <w:t>Mise en conformité des contenus complexes et des boutons</w:t>
            </w:r>
          </w:p>
        </w:tc>
        <w:tc>
          <w:tcPr>
            <w:tcW w:w="1097" w:type="dxa"/>
          </w:tcPr>
          <w:p w:rsidR="00BE511D" w:rsidRPr="003D0647" w:rsidRDefault="00BE511D">
            <w:pPr>
              <w:jc w:val="left"/>
            </w:pPr>
            <w:r w:rsidRPr="003D0647">
              <w:t>En cours</w:t>
            </w:r>
          </w:p>
        </w:tc>
      </w:tr>
      <w:tr w:rsidR="003D0647" w:rsidRPr="003D0647">
        <w:tc>
          <w:tcPr>
            <w:tcW w:w="2830" w:type="dxa"/>
          </w:tcPr>
          <w:p w:rsidR="00BE511D" w:rsidRPr="003D0647" w:rsidRDefault="00BE511D">
            <w:pPr>
              <w:jc w:val="left"/>
            </w:pPr>
            <w:r w:rsidRPr="003D0647">
              <w:t>6. Conformité des listes</w:t>
            </w:r>
          </w:p>
        </w:tc>
        <w:tc>
          <w:tcPr>
            <w:tcW w:w="10065" w:type="dxa"/>
          </w:tcPr>
          <w:p w:rsidR="00BE511D" w:rsidRPr="003D0647" w:rsidRDefault="00BE511D" w:rsidP="00651FC9">
            <w:r w:rsidRPr="003D0647">
              <w:t>Mise en conformité des listes</w:t>
            </w:r>
          </w:p>
        </w:tc>
        <w:tc>
          <w:tcPr>
            <w:tcW w:w="1097" w:type="dxa"/>
          </w:tcPr>
          <w:p w:rsidR="00BE511D" w:rsidRPr="003D0647" w:rsidRDefault="00BE511D">
            <w:pPr>
              <w:jc w:val="left"/>
            </w:pPr>
            <w:r w:rsidRPr="003D0647">
              <w:t>Réalisé</w:t>
            </w:r>
          </w:p>
        </w:tc>
      </w:tr>
      <w:tr w:rsidR="003D0647" w:rsidRPr="003D0647">
        <w:tc>
          <w:tcPr>
            <w:tcW w:w="2830" w:type="dxa"/>
          </w:tcPr>
          <w:p w:rsidR="00BE511D" w:rsidRPr="003D0647" w:rsidRDefault="00BE511D">
            <w:pPr>
              <w:jc w:val="left"/>
            </w:pPr>
            <w:r w:rsidRPr="003D0647">
              <w:t>7. Prise de focus</w:t>
            </w:r>
          </w:p>
        </w:tc>
        <w:tc>
          <w:tcPr>
            <w:tcW w:w="10065" w:type="dxa"/>
          </w:tcPr>
          <w:p w:rsidR="00BE511D" w:rsidRPr="003D0647" w:rsidRDefault="00BE511D" w:rsidP="00651FC9">
            <w:r w:rsidRPr="003D0647">
              <w:t>Mise en conformité de la prise de focus</w:t>
            </w:r>
          </w:p>
        </w:tc>
        <w:tc>
          <w:tcPr>
            <w:tcW w:w="1097" w:type="dxa"/>
          </w:tcPr>
          <w:p w:rsidR="00BE511D" w:rsidRPr="003D0647" w:rsidRDefault="00BE511D">
            <w:pPr>
              <w:jc w:val="left"/>
            </w:pPr>
            <w:r w:rsidRPr="003D0647">
              <w:t>En cours</w:t>
            </w:r>
          </w:p>
        </w:tc>
      </w:tr>
    </w:tbl>
    <w:p w:rsidR="00C447E3" w:rsidRDefault="00C447E3">
      <w:pPr>
        <w:rPr>
          <w:b/>
          <w:color w:val="FF0000"/>
        </w:rPr>
      </w:pPr>
    </w:p>
    <w:sectPr w:rsidR="00C447E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E3" w:rsidRDefault="000D2466">
      <w:pPr>
        <w:spacing w:after="0" w:line="240" w:lineRule="auto"/>
      </w:pPr>
      <w:r>
        <w:separator/>
      </w:r>
    </w:p>
  </w:endnote>
  <w:endnote w:type="continuationSeparator" w:id="0">
    <w:p w:rsidR="00C447E3" w:rsidRDefault="000D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E3" w:rsidRDefault="000D2466">
    <w:pPr>
      <w:pStyle w:val="Pieddepage"/>
      <w:jc w:val="right"/>
    </w:pPr>
    <w:r>
      <w:t xml:space="preserve">Page </w:t>
    </w:r>
    <w:sdt>
      <w:sdtPr>
        <w:id w:val="-1960403367"/>
        <w:docPartObj>
          <w:docPartGallery w:val="Page Numbers (Bottom of Page)"/>
          <w:docPartUnique/>
        </w:docPartObj>
      </w:sdtPr>
      <w:sdtEndPr/>
      <w:sdtContent>
        <w:r>
          <w:fldChar w:fldCharType="begin"/>
        </w:r>
        <w:r>
          <w:instrText>PAGE   \* MERGEFORMAT</w:instrText>
        </w:r>
        <w:r>
          <w:fldChar w:fldCharType="separate"/>
        </w:r>
        <w:r w:rsidR="003D0647">
          <w:rPr>
            <w:noProof/>
          </w:rPr>
          <w:t>2</w:t>
        </w:r>
        <w:r>
          <w:fldChar w:fldCharType="end"/>
        </w:r>
      </w:sdtContent>
    </w:sdt>
  </w:p>
  <w:p w:rsidR="00C447E3" w:rsidRDefault="00C447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E3" w:rsidRDefault="000D2466">
      <w:pPr>
        <w:spacing w:after="0" w:line="240" w:lineRule="auto"/>
      </w:pPr>
      <w:r>
        <w:separator/>
      </w:r>
    </w:p>
  </w:footnote>
  <w:footnote w:type="continuationSeparator" w:id="0">
    <w:p w:rsidR="00C447E3" w:rsidRDefault="000D2466">
      <w:pPr>
        <w:spacing w:after="0" w:line="240" w:lineRule="auto"/>
      </w:pPr>
      <w:r>
        <w:continuationSeparator/>
      </w:r>
    </w:p>
  </w:footnote>
  <w:footnote w:id="1">
    <w:p w:rsidR="00C447E3" w:rsidRDefault="000D2466">
      <w:pPr>
        <w:pStyle w:val="Notedebasdepage"/>
      </w:pPr>
      <w:r w:rsidRPr="003D0647">
        <w:rPr>
          <w:rStyle w:val="Appelnotedebasdep"/>
        </w:rPr>
        <w:footnoteRef/>
      </w:r>
      <w:r w:rsidRPr="003D0647">
        <w:t xml:space="preserve"> </w:t>
      </w:r>
      <w:r w:rsidR="00651FC9" w:rsidRPr="003D0647">
        <w:t>https://www.chlordecone-info.fr</w:t>
      </w:r>
    </w:p>
  </w:footnote>
  <w:footnote w:id="2">
    <w:p w:rsidR="00C447E3" w:rsidRDefault="000D2466">
      <w:pPr>
        <w:pStyle w:val="Notedebasdepage"/>
      </w:pPr>
      <w:r>
        <w:rPr>
          <w:rStyle w:val="Appelnotedebasdep"/>
        </w:rPr>
        <w:footnoteRef/>
      </w:r>
      <w:r>
        <w:t xml:space="preserve"> </w:t>
      </w:r>
      <w:r w:rsidRPr="003D0647">
        <w:t xml:space="preserve">Par mail à </w:t>
      </w:r>
      <w:r w:rsidR="003D0647" w:rsidRPr="003D0647">
        <w:t>contact-strategie-chlordecone@outre-mer.gouv.fr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217A9" w:rsidTr="006F6D56">
      <w:tc>
        <w:tcPr>
          <w:tcW w:w="4531" w:type="dxa"/>
          <w:vAlign w:val="center"/>
        </w:tcPr>
        <w:p w:rsidR="00E217A9" w:rsidRDefault="00E217A9" w:rsidP="00E217A9">
          <w:pPr>
            <w:pStyle w:val="En-tte"/>
            <w:jc w:val="left"/>
          </w:pPr>
          <w:r>
            <w:rPr>
              <w:noProof/>
              <w:color w:val="FF0000"/>
              <w:lang w:eastAsia="fr-FR"/>
            </w:rPr>
            <w:drawing>
              <wp:inline distT="0" distB="0" distL="0" distR="0" wp14:anchorId="108808D3" wp14:editId="4DC73C86">
                <wp:extent cx="1451241" cy="107115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GOM MOM.jpg"/>
                        <pic:cNvPicPr/>
                      </pic:nvPicPr>
                      <pic:blipFill>
                        <a:blip r:embed="rId1">
                          <a:extLst>
                            <a:ext uri="{28A0092B-C50C-407E-A947-70E740481C1C}">
                              <a14:useLocalDpi xmlns:a14="http://schemas.microsoft.com/office/drawing/2010/main" val="0"/>
                            </a:ext>
                          </a:extLst>
                        </a:blip>
                        <a:stretch>
                          <a:fillRect/>
                        </a:stretch>
                      </pic:blipFill>
                      <pic:spPr>
                        <a:xfrm>
                          <a:off x="0" y="0"/>
                          <a:ext cx="1565000" cy="1155119"/>
                        </a:xfrm>
                        <a:prstGeom prst="rect">
                          <a:avLst/>
                        </a:prstGeom>
                      </pic:spPr>
                    </pic:pic>
                  </a:graphicData>
                </a:graphic>
              </wp:inline>
            </w:drawing>
          </w:r>
        </w:p>
      </w:tc>
      <w:tc>
        <w:tcPr>
          <w:tcW w:w="4531" w:type="dxa"/>
          <w:vAlign w:val="center"/>
        </w:tcPr>
        <w:p w:rsidR="00E217A9" w:rsidRDefault="00E217A9" w:rsidP="00E217A9">
          <w:pPr>
            <w:pStyle w:val="En-tte"/>
            <w:rPr>
              <w:color w:val="FF0000"/>
            </w:rPr>
          </w:pPr>
          <w:r>
            <w:rPr>
              <w:noProof/>
              <w:lang w:eastAsia="fr-FR"/>
            </w:rPr>
            <w:drawing>
              <wp:anchor distT="0" distB="0" distL="114300" distR="114300" simplePos="0" relativeHeight="251660288" behindDoc="0" locked="0" layoutInCell="1" allowOverlap="1" wp14:anchorId="6F69D185" wp14:editId="4997CA49">
                <wp:simplePos x="0" y="0"/>
                <wp:positionH relativeFrom="column">
                  <wp:posOffset>1315085</wp:posOffset>
                </wp:positionH>
                <wp:positionV relativeFrom="paragraph">
                  <wp:posOffset>327025</wp:posOffset>
                </wp:positionV>
                <wp:extent cx="2240915" cy="89344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_horizontal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0915" cy="893445"/>
                        </a:xfrm>
                        <a:prstGeom prst="rect">
                          <a:avLst/>
                        </a:prstGeom>
                      </pic:spPr>
                    </pic:pic>
                  </a:graphicData>
                </a:graphic>
                <wp14:sizeRelH relativeFrom="margin">
                  <wp14:pctWidth>0</wp14:pctWidth>
                </wp14:sizeRelH>
                <wp14:sizeRelV relativeFrom="margin">
                  <wp14:pctHeight>0</wp14:pctHeight>
                </wp14:sizeRelV>
              </wp:anchor>
            </w:drawing>
          </w:r>
        </w:p>
      </w:tc>
    </w:tr>
  </w:tbl>
  <w:p w:rsidR="00C447E3" w:rsidRDefault="00C447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217A9">
      <w:tc>
        <w:tcPr>
          <w:tcW w:w="4531" w:type="dxa"/>
          <w:vAlign w:val="center"/>
        </w:tcPr>
        <w:p w:rsidR="00C447E3" w:rsidRDefault="00E217A9" w:rsidP="00E217A9">
          <w:pPr>
            <w:pStyle w:val="En-tte"/>
            <w:jc w:val="left"/>
          </w:pPr>
          <w:r>
            <w:rPr>
              <w:noProof/>
              <w:color w:val="FF0000"/>
              <w:lang w:eastAsia="fr-FR"/>
            </w:rPr>
            <w:drawing>
              <wp:inline distT="0" distB="0" distL="0" distR="0" wp14:anchorId="7DFD5D30" wp14:editId="7BECF551">
                <wp:extent cx="1451241" cy="107115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GOM MOM.jpg"/>
                        <pic:cNvPicPr/>
                      </pic:nvPicPr>
                      <pic:blipFill>
                        <a:blip r:embed="rId1">
                          <a:extLst>
                            <a:ext uri="{28A0092B-C50C-407E-A947-70E740481C1C}">
                              <a14:useLocalDpi xmlns:a14="http://schemas.microsoft.com/office/drawing/2010/main" val="0"/>
                            </a:ext>
                          </a:extLst>
                        </a:blip>
                        <a:stretch>
                          <a:fillRect/>
                        </a:stretch>
                      </pic:blipFill>
                      <pic:spPr>
                        <a:xfrm>
                          <a:off x="0" y="0"/>
                          <a:ext cx="1565000" cy="1155119"/>
                        </a:xfrm>
                        <a:prstGeom prst="rect">
                          <a:avLst/>
                        </a:prstGeom>
                      </pic:spPr>
                    </pic:pic>
                  </a:graphicData>
                </a:graphic>
              </wp:inline>
            </w:drawing>
          </w:r>
        </w:p>
      </w:tc>
      <w:tc>
        <w:tcPr>
          <w:tcW w:w="4531" w:type="dxa"/>
          <w:vAlign w:val="center"/>
        </w:tcPr>
        <w:p w:rsidR="00C447E3" w:rsidRDefault="00E217A9" w:rsidP="00E217A9">
          <w:pPr>
            <w:pStyle w:val="En-tte"/>
            <w:rPr>
              <w:color w:val="FF0000"/>
            </w:rPr>
          </w:pPr>
          <w:r>
            <w:rPr>
              <w:noProof/>
              <w:lang w:eastAsia="fr-FR"/>
            </w:rPr>
            <w:drawing>
              <wp:anchor distT="0" distB="0" distL="114300" distR="114300" simplePos="0" relativeHeight="251658240" behindDoc="0" locked="0" layoutInCell="1" allowOverlap="1">
                <wp:simplePos x="0" y="0"/>
                <wp:positionH relativeFrom="column">
                  <wp:posOffset>1315085</wp:posOffset>
                </wp:positionH>
                <wp:positionV relativeFrom="paragraph">
                  <wp:posOffset>327025</wp:posOffset>
                </wp:positionV>
                <wp:extent cx="2240915" cy="89344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_horizontal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0915" cy="893445"/>
                        </a:xfrm>
                        <a:prstGeom prst="rect">
                          <a:avLst/>
                        </a:prstGeom>
                      </pic:spPr>
                    </pic:pic>
                  </a:graphicData>
                </a:graphic>
                <wp14:sizeRelH relativeFrom="margin">
                  <wp14:pctWidth>0</wp14:pctWidth>
                </wp14:sizeRelH>
                <wp14:sizeRelV relativeFrom="margin">
                  <wp14:pctHeight>0</wp14:pctHeight>
                </wp14:sizeRelV>
              </wp:anchor>
            </w:drawing>
          </w:r>
        </w:p>
      </w:tc>
    </w:tr>
  </w:tbl>
  <w:p w:rsidR="00C447E3" w:rsidRDefault="00C447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6A7"/>
    <w:multiLevelType w:val="hybridMultilevel"/>
    <w:tmpl w:val="AACCDE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777B6C"/>
    <w:multiLevelType w:val="hybridMultilevel"/>
    <w:tmpl w:val="7467E8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C9377D"/>
    <w:multiLevelType w:val="hybridMultilevel"/>
    <w:tmpl w:val="AACCDE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A70F13"/>
    <w:multiLevelType w:val="multilevel"/>
    <w:tmpl w:val="9E383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E3"/>
    <w:rsid w:val="0006572F"/>
    <w:rsid w:val="000D2466"/>
    <w:rsid w:val="00177387"/>
    <w:rsid w:val="003C0E05"/>
    <w:rsid w:val="003D0647"/>
    <w:rsid w:val="004670EB"/>
    <w:rsid w:val="00651FC9"/>
    <w:rsid w:val="00682628"/>
    <w:rsid w:val="007B4CB6"/>
    <w:rsid w:val="008D0C36"/>
    <w:rsid w:val="00946AAA"/>
    <w:rsid w:val="00987333"/>
    <w:rsid w:val="00A12B99"/>
    <w:rsid w:val="00AD6F28"/>
    <w:rsid w:val="00BE511D"/>
    <w:rsid w:val="00C447E3"/>
    <w:rsid w:val="00CA79F3"/>
    <w:rsid w:val="00E0784D"/>
    <w:rsid w:val="00E217A9"/>
    <w:rsid w:val="00E77172"/>
    <w:rsid w:val="00E8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5C10E"/>
  <w15:docId w15:val="{D94EB3B2-B6AF-42CA-8AD1-BC2EFD97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Marianne" w:hAnsi="Marianne"/>
    </w:rPr>
  </w:style>
  <w:style w:type="paragraph" w:styleId="Titre1">
    <w:name w:val="heading 1"/>
    <w:basedOn w:val="Normal"/>
    <w:next w:val="Normal"/>
    <w:link w:val="Titre1Car"/>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eastAsiaTheme="majorEastAsia" w:cstheme="majorBidi"/>
      <w:color w:val="4472C4" w:themeColor="accent5"/>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Pr>
      <w:rFonts w:eastAsiaTheme="minorEastAsia"/>
      <w:color w:val="5A5A5A" w:themeColor="text1" w:themeTint="A5"/>
      <w:spacing w:val="15"/>
    </w:rPr>
  </w:style>
  <w:style w:type="character" w:customStyle="1" w:styleId="Titre1Car">
    <w:name w:val="Titre 1 Car"/>
    <w:basedOn w:val="Policepardfaut"/>
    <w:link w:val="Titre1"/>
    <w:uiPriority w:val="9"/>
    <w:rPr>
      <w:rFonts w:ascii="Marianne" w:eastAsiaTheme="majorEastAsia" w:hAnsi="Marianne" w:cstheme="majorBidi"/>
      <w:color w:val="2E74B5" w:themeColor="accent1" w:themeShade="BF"/>
      <w:sz w:val="32"/>
      <w:szCs w:val="32"/>
    </w:rPr>
  </w:style>
  <w:style w:type="paragraph" w:styleId="En-ttedetabledesmatires">
    <w:name w:val="TOC Heading"/>
    <w:basedOn w:val="Titre1"/>
    <w:next w:val="Normal"/>
    <w:uiPriority w:val="39"/>
    <w:unhideWhenUsed/>
    <w:qFormat/>
    <w:pPr>
      <w:outlineLvl w:val="9"/>
    </w:pPr>
    <w:rPr>
      <w:lang w:eastAsia="fr-FR"/>
    </w:rPr>
  </w:style>
  <w:style w:type="paragraph" w:styleId="Sansinterligne">
    <w:name w:val="No Spacing"/>
    <w:uiPriority w:val="1"/>
    <w:qFormat/>
    <w:pPr>
      <w:spacing w:after="0" w:line="240" w:lineRule="auto"/>
      <w:jc w:val="both"/>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Pr>
      <w:rFonts w:ascii="Marianne" w:eastAsiaTheme="majorEastAsia" w:hAnsi="Marianne" w:cstheme="majorBidi"/>
      <w:color w:val="4472C4" w:themeColor="accent5"/>
      <w:sz w:val="26"/>
      <w:szCs w:val="26"/>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customStyle="1" w:styleId="Titre3Car">
    <w:name w:val="Titre 3 Car"/>
    <w:basedOn w:val="Policepardfaut"/>
    <w:link w:val="Titre3"/>
    <w:uiPriority w:val="9"/>
    <w:rPr>
      <w:rFonts w:asciiTheme="majorHAnsi" w:eastAsiaTheme="majorEastAsia" w:hAnsiTheme="majorHAnsi" w:cstheme="majorBidi"/>
      <w:sz w:val="24"/>
      <w:szCs w:val="24"/>
    </w:rPr>
  </w:style>
  <w:style w:type="paragraph" w:styleId="TM3">
    <w:name w:val="toc 3"/>
    <w:basedOn w:val="Normal"/>
    <w:next w:val="Normal"/>
    <w:uiPriority w:val="39"/>
    <w:unhideWhenUsed/>
    <w:pPr>
      <w:spacing w:after="100"/>
      <w:ind w:left="440"/>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character" w:styleId="lev">
    <w:name w:val="Strong"/>
    <w:basedOn w:val="Policepardfaut"/>
    <w:uiPriority w:val="22"/>
    <w:qFormat/>
    <w:rsid w:val="00E77172"/>
    <w:rPr>
      <w:b/>
      <w:bCs/>
    </w:rPr>
  </w:style>
  <w:style w:type="paragraph" w:customStyle="1" w:styleId="Default">
    <w:name w:val="Default"/>
    <w:rsid w:val="00BE51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D0FC-D2B7-4389-953B-2A074DDA18BD}">
  <ds:schemaRefs>
    <ds:schemaRef ds:uri="http://schemas.openxmlformats.org/officeDocument/2006/bibliography"/>
  </ds:schemaRefs>
</ds:datastoreItem>
</file>

<file path=customXml/itemProps2.xml><?xml version="1.0" encoding="utf-8"?>
<ds:datastoreItem xmlns:ds="http://schemas.openxmlformats.org/officeDocument/2006/customXml" ds:itemID="{BC0F10DE-D3B2-4B9F-B0F5-3DE20438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Aurélien</dc:creator>
  <cp:keywords/>
  <dc:description/>
  <cp:lastModifiedBy>BUARD Elise</cp:lastModifiedBy>
  <cp:revision>2</cp:revision>
  <dcterms:created xsi:type="dcterms:W3CDTF">2025-09-05T16:28:00Z</dcterms:created>
  <dcterms:modified xsi:type="dcterms:W3CDTF">2025-09-05T16:28:00Z</dcterms:modified>
</cp:coreProperties>
</file>